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в перечень государственных программ Еврейской автономной области, </w:t>
      </w:r>
      <w:r>
        <w:rPr>
          <w:rFonts w:ascii="Times New Roman" w:hAnsi="Times New Roman"/>
          <w:sz w:val="28"/>
          <w:szCs w:val="28"/>
        </w:rPr>
        <w:t xml:space="preserve">предусмотренных к финансированию из областного бюджета на 2024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правительства Еврейской автономн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й области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sz w:val="28"/>
          <w:szCs w:val="28"/>
        </w:rPr>
        <w:t xml:space="preserve">31</w:t>
      </w:r>
      <w:r>
        <w:rPr>
          <w:rFonts w:ascii="Times New Roman" w:hAnsi="Times New Roman"/>
          <w:sz w:val="28"/>
          <w:szCs w:val="28"/>
        </w:rPr>
        <w:t xml:space="preserve">.08.20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355</w:t>
      </w:r>
      <w:r>
        <w:rPr>
          <w:rFonts w:ascii="Times New Roman" w:hAnsi="Times New Roman"/>
          <w:sz w:val="28"/>
          <w:szCs w:val="28"/>
        </w:rPr>
        <w:t xml:space="preserve">-пп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Правительство Еврейской автономной области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Внести в </w:t>
      </w:r>
      <w:hyperlink r:id="rId13" w:tooltip="consultantplus://offline/ref=55F99C4F23F6461E0689F639010EF2C121E01FF770FB6ED95D56886416FE6628AC30FC1A42157553642786VAT7F" w:history="1">
        <w:r>
          <w:rPr>
            <w:rFonts w:ascii="Times New Roman" w:hAnsi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/>
          <w:sz w:val="28"/>
          <w:szCs w:val="28"/>
        </w:rPr>
        <w:t xml:space="preserve"> государственных программ Еврейской автономной области, предусмотренных к финансированию из областного бюджета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год и на плановый период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годов, утвержденный постановлением правительства Еврейской автономной области от </w:t>
      </w:r>
      <w:r>
        <w:rPr>
          <w:rFonts w:ascii="Times New Roman" w:hAnsi="Times New Roman"/>
          <w:sz w:val="28"/>
          <w:szCs w:val="28"/>
        </w:rPr>
        <w:t xml:space="preserve">31</w:t>
      </w:r>
      <w:r>
        <w:rPr>
          <w:rFonts w:ascii="Times New Roman" w:hAnsi="Times New Roman"/>
          <w:sz w:val="28"/>
          <w:szCs w:val="28"/>
        </w:rPr>
        <w:t xml:space="preserve">.08.20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355</w:t>
      </w:r>
      <w:r>
        <w:rPr>
          <w:rFonts w:ascii="Times New Roman" w:hAnsi="Times New Roman"/>
          <w:sz w:val="28"/>
          <w:szCs w:val="28"/>
        </w:rPr>
        <w:t xml:space="preserve">-пп </w:t>
      </w:r>
      <w:r>
        <w:rPr>
          <w:rFonts w:ascii="Times New Roman" w:hAnsi="Times New Roman"/>
          <w:sz w:val="28"/>
          <w:szCs w:val="28"/>
        </w:rPr>
        <w:t xml:space="preserve">«Об утверждении перечня государственных программ Еврейской автономной области, предусмотренных к финансированию из областного бюджета на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, следующ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7"/>
          <w:szCs w:val="27"/>
        </w:rPr>
        <w:t xml:space="preserve">: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7" w:h="16840" w:orient="portrait"/>
          <w:pgMar w:top="1134" w:right="850" w:bottom="1134" w:left="1701" w:header="454" w:footer="454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312" w:firstLine="85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ункт 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/>
    </w:p>
    <w:tbl>
      <w:tblPr>
        <w:tblW w:w="14766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19"/>
        <w:gridCol w:w="3868"/>
        <w:gridCol w:w="1856"/>
        <w:gridCol w:w="1814"/>
        <w:gridCol w:w="1814"/>
        <w:gridCol w:w="1814"/>
      </w:tblGrid>
      <w:tr>
        <w:trPr>
          <w:trHeight w:val="857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«18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6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Государственная программа Еврейской автономной области «Содействие занятости населения и обеспечение безопасности труда»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Срок реализации: 2024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– 2028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1142"/>
        </w:trPr>
        <w:tc>
          <w:tcPr>
            <w:tcBorders>
              <w:top w:val="single" w:color="000000" w:sz="4" w:space="0"/>
            </w:tcBorders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18.1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</w:tcBorders>
            <w:tcW w:w="29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</w:tcBorders>
            <w:tcW w:w="3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«Содействие занятости населения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ind w:left="-142" w:right="-141" w:firstLine="0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2024 – 2028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47 390,0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47 390,0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47 390,0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142"/>
        </w:trPr>
        <w:tc>
          <w:tcPr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18.2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9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3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«Улучшение условий и охраны труда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1856" w:type="dxa"/>
            <w:textDirection w:val="lrTb"/>
            <w:noWrap w:val="false"/>
          </w:tcPr>
          <w:p>
            <w:pPr>
              <w:ind w:left="-142" w:right="-141" w:firstLine="0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2024 – 2028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ind w:left="-142" w:right="-141" w:firstLine="0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3 708,7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3 708,7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3 708,7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142"/>
        </w:trPr>
        <w:tc>
          <w:tcPr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18.3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9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3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«Содействие занятости инвалидов, в том числе сопровождение инвалидов молодого возраста при трудоустройстве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1856" w:type="dxa"/>
            <w:textDirection w:val="lrTb"/>
            <w:noWrap w:val="false"/>
          </w:tcPr>
          <w:p>
            <w:pPr>
              <w:ind w:left="-142" w:right="-141" w:firstLine="0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2024 – 2028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ind w:left="-142" w:right="-141" w:firstLine="0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1 818,4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1 818,4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1 818,4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142"/>
        </w:trPr>
        <w:tc>
          <w:tcPr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18.4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9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3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«Повышение мобильности трудовых ресурсов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1856" w:type="dxa"/>
            <w:textDirection w:val="lrTb"/>
            <w:noWrap w:val="false"/>
          </w:tcPr>
          <w:p>
            <w:pPr>
              <w:ind w:left="-142" w:right="-141" w:firstLine="0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2024 – 2028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ind w:left="-142" w:right="-141" w:firstLine="0"/>
              <w:jc w:val="center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000000" w:fill="ffffff"/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000000" w:fill="ffffff"/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1142"/>
        </w:trPr>
        <w:tc>
          <w:tcPr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18.5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29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3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«Содействие занятости молодежи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1856" w:type="dxa"/>
            <w:textDirection w:val="lrTb"/>
            <w:noWrap w:val="false"/>
          </w:tcPr>
          <w:p>
            <w:pPr>
              <w:ind w:left="-142" w:right="-141" w:firstLine="0"/>
              <w:jc w:val="center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2024 – 2028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ind w:left="-142" w:right="-141" w:firstLine="0"/>
              <w:jc w:val="center"/>
              <w:spacing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</w:r>
            <w:r/>
          </w:p>
        </w:tc>
        <w:tc>
          <w:tcPr>
            <w:shd w:val="clear" w:color="000000" w:fill="ffffff"/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shd w:val="clear" w:color="000000" w:fill="ffffff"/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000000" w:fill="ffffff"/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474"/>
        </w:trPr>
        <w:tc>
          <w:tcPr>
            <w:gridSpan w:val="4"/>
            <w:shd w:val="clear" w:color="000000" w:fill="ffffff"/>
            <w:tcW w:w="9325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52 917,1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52 917,1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52 917,1».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ind w:right="-31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sectPr>
          <w:headerReference w:type="default" r:id="rId11"/>
          <w:footnotePr/>
          <w:endnotePr/>
          <w:type w:val="nextPage"/>
          <w:pgSz w:w="16840" w:h="11907" w:orient="landscape"/>
          <w:pgMar w:top="1418" w:right="1134" w:bottom="850" w:left="1134" w:header="454" w:footer="454" w:gutter="0"/>
          <w:pgNumType w:start="2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567" w:right="141" w:firstLine="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 Настоящее постановление вступает в силу со дня его подписания.</w:t>
      </w:r>
      <w:r/>
    </w:p>
    <w:p>
      <w:pPr>
        <w:ind w:left="142" w:right="141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141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142" w:right="141"/>
        <w:jc w:val="center"/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141" w:firstLine="142"/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/>
    </w:p>
    <w:p>
      <w:pPr>
        <w:ind w:left="142" w:right="-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142" w:right="-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142" w:right="-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142" w:right="-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142" w:right="-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142" w:right="-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142" w:right="-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142" w:right="-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sectPr>
      <w:footnotePr/>
      <w:endnotePr/>
      <w:type w:val="nextPage"/>
      <w:pgSz w:w="11907" w:h="16840" w:orient="portrait"/>
      <w:pgMar w:top="1134" w:right="850" w:bottom="1134" w:left="1418" w:header="454" w:footer="45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S Mincho">
    <w:panose1 w:val="02020503050405090304"/>
  </w:font>
  <w:font w:name="Times New Roman CYR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rPr>
        <w:rStyle w:val="702"/>
      </w:rPr>
      <w:framePr w:wrap="auto" w:vAnchor="text" w:hAnchor="margin" w:xAlign="right" w:y="1"/>
    </w:pPr>
    <w:r/>
    <w:r/>
  </w:p>
  <w:p>
    <w:pPr>
      <w:pStyle w:val="703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45002883"/>
      <w:docPartObj>
        <w:docPartGallery w:val="Page Numbers (Top of Page)"/>
        <w:docPartUnique w:val="true"/>
      </w:docPartObj>
      <w:rPr/>
    </w:sdtPr>
    <w:sdtContent>
      <w:p>
        <w:pPr>
          <w:pStyle w:val="703"/>
          <w:jc w:val="center"/>
        </w:pPr>
        <w:r>
          <w:t xml:space="preserve">3</w:t>
        </w:r>
        <w:r/>
      </w:p>
    </w:sdtContent>
  </w:sdt>
  <w:p>
    <w:pPr>
      <w:pStyle w:val="70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rPr>
        <w:rStyle w:val="702"/>
      </w:rPr>
      <w:framePr w:wrap="auto" w:vAnchor="text" w:hAnchor="margin" w:xAlign="center" w:y="1"/>
    </w:pPr>
    <w:r>
      <w:rPr>
        <w:rStyle w:val="702"/>
      </w:rPr>
      <w:fldChar w:fldCharType="begin"/>
    </w:r>
    <w:r>
      <w:rPr>
        <w:rStyle w:val="702"/>
      </w:rPr>
      <w:instrText xml:space="preserve">PAGE  </w:instrText>
    </w:r>
    <w:r>
      <w:rPr>
        <w:rStyle w:val="702"/>
      </w:rPr>
      <w:fldChar w:fldCharType="separate"/>
    </w:r>
    <w:r>
      <w:rPr>
        <w:rStyle w:val="702"/>
      </w:rPr>
      <w:t xml:space="preserve">2</w:t>
    </w:r>
    <w:r>
      <w:rPr>
        <w:rStyle w:val="702"/>
      </w:rPr>
      <w:fldChar w:fldCharType="end"/>
    </w:r>
    <w:r/>
  </w:p>
  <w:p>
    <w:pPr>
      <w:pStyle w:val="703"/>
      <w:rPr>
        <w:rStyle w:val="702"/>
      </w:rPr>
      <w:framePr w:wrap="auto" w:vAnchor="text" w:hAnchor="margin" w:xAlign="right" w:y="1"/>
    </w:pPr>
    <w:r/>
    <w:r/>
  </w:p>
  <w:p>
    <w:pPr>
      <w:pStyle w:val="703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20"/>
      <w:numFmt w:val="decimal"/>
      <w:isLgl w:val="false"/>
      <w:suff w:val="tab"/>
      <w:lvlText w:val="%1"/>
      <w:lvlJc w:val="left"/>
      <w:pPr>
        <w:ind w:left="1285" w:hanging="57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456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7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9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1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3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5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7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9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16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96"/>
    <w:link w:val="695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4"/>
    <w:next w:val="69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9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4"/>
    <w:next w:val="69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4"/>
    <w:next w:val="69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4"/>
    <w:next w:val="69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4"/>
    <w:next w:val="69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4"/>
    <w:next w:val="69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4"/>
    <w:next w:val="69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4"/>
    <w:next w:val="69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94"/>
    <w:next w:val="69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6"/>
    <w:link w:val="33"/>
    <w:uiPriority w:val="10"/>
    <w:rPr>
      <w:sz w:val="48"/>
      <w:szCs w:val="48"/>
    </w:rPr>
  </w:style>
  <w:style w:type="paragraph" w:styleId="35">
    <w:name w:val="Subtitle"/>
    <w:basedOn w:val="694"/>
    <w:next w:val="69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6"/>
    <w:link w:val="35"/>
    <w:uiPriority w:val="11"/>
    <w:rPr>
      <w:sz w:val="24"/>
      <w:szCs w:val="24"/>
    </w:rPr>
  </w:style>
  <w:style w:type="paragraph" w:styleId="37">
    <w:name w:val="Quote"/>
    <w:basedOn w:val="694"/>
    <w:next w:val="69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4"/>
    <w:next w:val="69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96"/>
    <w:link w:val="703"/>
    <w:uiPriority w:val="99"/>
  </w:style>
  <w:style w:type="character" w:styleId="44">
    <w:name w:val="Footer Char"/>
    <w:basedOn w:val="696"/>
    <w:link w:val="700"/>
    <w:uiPriority w:val="99"/>
  </w:style>
  <w:style w:type="paragraph" w:styleId="45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0"/>
    <w:uiPriority w:val="99"/>
  </w:style>
  <w:style w:type="table" w:styleId="47">
    <w:name w:val="Table Grid"/>
    <w:basedOn w:val="6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9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6"/>
    <w:uiPriority w:val="99"/>
    <w:unhideWhenUsed/>
    <w:rPr>
      <w:vertAlign w:val="superscript"/>
    </w:rPr>
  </w:style>
  <w:style w:type="paragraph" w:styleId="177">
    <w:name w:val="endnote text"/>
    <w:basedOn w:val="69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6"/>
    <w:uiPriority w:val="99"/>
    <w:semiHidden/>
    <w:unhideWhenUsed/>
    <w:rPr>
      <w:vertAlign w:val="superscript"/>
    </w:rPr>
  </w:style>
  <w:style w:type="paragraph" w:styleId="180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qFormat/>
    <w:rPr>
      <w:rFonts w:eastAsia="Times New Roman" w:cs="Times New Roman"/>
    </w:rPr>
  </w:style>
  <w:style w:type="paragraph" w:styleId="695">
    <w:name w:val="Heading 1"/>
    <w:basedOn w:val="694"/>
    <w:next w:val="694"/>
    <w:link w:val="699"/>
    <w:uiPriority w:val="99"/>
    <w:qFormat/>
    <w:pPr>
      <w:spacing w:after="0" w:line="240" w:lineRule="auto"/>
      <w:outlineLvl w:val="0"/>
    </w:pPr>
    <w:rPr>
      <w:rFonts w:ascii="Times New Roman CYR" w:hAnsi="Times New Roman CYR"/>
      <w:sz w:val="24"/>
      <w:szCs w:val="24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Заголовок 1 Знак"/>
    <w:basedOn w:val="696"/>
    <w:link w:val="695"/>
    <w:uiPriority w:val="99"/>
    <w:rPr>
      <w:rFonts w:ascii="Times New Roman CYR" w:hAnsi="Times New Roman CYR" w:eastAsia="Times New Roman" w:cs="Times New Roman"/>
      <w:sz w:val="24"/>
      <w:szCs w:val="24"/>
    </w:rPr>
  </w:style>
  <w:style w:type="paragraph" w:styleId="700">
    <w:name w:val="Footer"/>
    <w:basedOn w:val="694"/>
    <w:link w:val="70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MS Mincho"/>
      <w:sz w:val="28"/>
      <w:szCs w:val="28"/>
      <w:lang w:eastAsia="ru-RU"/>
    </w:rPr>
  </w:style>
  <w:style w:type="character" w:styleId="701" w:customStyle="1">
    <w:name w:val="Нижний колонтитул Знак"/>
    <w:basedOn w:val="696"/>
    <w:link w:val="700"/>
    <w:uiPriority w:val="99"/>
    <w:rPr>
      <w:rFonts w:ascii="Times New Roman" w:hAnsi="Times New Roman" w:eastAsia="MS Mincho" w:cs="Times New Roman"/>
      <w:sz w:val="28"/>
      <w:szCs w:val="28"/>
      <w:lang w:eastAsia="ru-RU"/>
    </w:rPr>
  </w:style>
  <w:style w:type="character" w:styleId="702">
    <w:name w:val="page number"/>
    <w:basedOn w:val="696"/>
    <w:uiPriority w:val="99"/>
    <w:rPr>
      <w:rFonts w:cs="Times New Roman"/>
    </w:rPr>
  </w:style>
  <w:style w:type="paragraph" w:styleId="703">
    <w:name w:val="Header"/>
    <w:basedOn w:val="694"/>
    <w:link w:val="70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MS Mincho"/>
      <w:sz w:val="28"/>
      <w:szCs w:val="28"/>
      <w:lang w:eastAsia="ru-RU"/>
    </w:rPr>
  </w:style>
  <w:style w:type="character" w:styleId="704" w:customStyle="1">
    <w:name w:val="Верхний колонтитул Знак"/>
    <w:basedOn w:val="696"/>
    <w:link w:val="703"/>
    <w:uiPriority w:val="99"/>
    <w:rPr>
      <w:rFonts w:ascii="Times New Roman" w:hAnsi="Times New Roman" w:eastAsia="MS Mincho" w:cs="Times New Roman"/>
      <w:sz w:val="28"/>
      <w:szCs w:val="28"/>
      <w:lang w:eastAsia="ru-RU"/>
    </w:rPr>
  </w:style>
  <w:style w:type="paragraph" w:styleId="705">
    <w:name w:val="No Spacing"/>
    <w:uiPriority w:val="1"/>
    <w:qFormat/>
    <w:pPr>
      <w:spacing w:after="0" w:line="240" w:lineRule="auto"/>
    </w:pPr>
    <w:rPr>
      <w:rFonts w:eastAsia="Times New Roman" w:cs="Times New Roman"/>
    </w:rPr>
  </w:style>
  <w:style w:type="paragraph" w:styleId="706">
    <w:name w:val="Balloon Text"/>
    <w:basedOn w:val="694"/>
    <w:link w:val="70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07" w:customStyle="1">
    <w:name w:val="Текст выноски Знак"/>
    <w:basedOn w:val="696"/>
    <w:link w:val="70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708">
    <w:name w:val="List Paragraph"/>
    <w:basedOn w:val="69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55F99C4F23F6461E0689F639010EF2C121E01FF770FB6ED95D56886416FE6628AC30FC1A42157553642786VAT7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B814-401B-41BF-8A12-0766D9C8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Варваренко Альбина Петровна</dc:creator>
  <cp:keywords/>
  <dc:description/>
  <cp:revision>59</cp:revision>
  <dcterms:created xsi:type="dcterms:W3CDTF">2021-08-23T23:50:00Z</dcterms:created>
  <dcterms:modified xsi:type="dcterms:W3CDTF">2023-10-02T02:18:12Z</dcterms:modified>
</cp:coreProperties>
</file>